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23E33" w:rsidRDefault="0010372A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  <w:t>Géographie du monde te mutations stratégiques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10372A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  <w:t>Géographie du monde te mutations stratégiques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B26E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6386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3 crédits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10372A" w:rsidRPr="0010372A" w:rsidRDefault="0010372A" w:rsidP="0010372A">
            <w:pPr>
              <w:pStyle w:val="Paragraphedeliste"/>
              <w:numPr>
                <w:ilvl w:val="0"/>
                <w:numId w:val="21"/>
              </w:numPr>
              <w:bidi w:val="0"/>
              <w:spacing w:line="240" w:lineRule="exact"/>
              <w:ind w:left="436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10372A">
              <w:rPr>
                <w:rFonts w:ascii="Candara" w:hAnsi="Candara"/>
                <w:noProof/>
                <w:sz w:val="20"/>
                <w:szCs w:val="20"/>
                <w:lang w:eastAsia="fr-FR"/>
              </w:rPr>
              <w:t>Maîtrise des notions de base concernant la géographie ;</w:t>
            </w:r>
          </w:p>
          <w:p w:rsidR="00BA785F" w:rsidRPr="00463864" w:rsidRDefault="0010372A" w:rsidP="0010372A">
            <w:pPr>
              <w:pStyle w:val="Paragraphedeliste"/>
              <w:numPr>
                <w:ilvl w:val="0"/>
                <w:numId w:val="21"/>
              </w:numPr>
              <w:bidi w:val="0"/>
              <w:spacing w:line="240" w:lineRule="exact"/>
              <w:ind w:left="436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10372A">
              <w:rPr>
                <w:rFonts w:ascii="Candara" w:hAnsi="Candara"/>
                <w:noProof/>
                <w:sz w:val="20"/>
                <w:szCs w:val="20"/>
                <w:lang w:eastAsia="fr-FR"/>
              </w:rPr>
              <w:t>Maîtrise de la sémiologie cartographique.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54AA9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854AA9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Français ou Arabe</w:t>
            </w:r>
          </w:p>
        </w:tc>
      </w:tr>
      <w:tr w:rsidR="00BA785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A785F" w:rsidRPr="00463864" w:rsidRDefault="006D0109" w:rsidP="001247E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A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A785F" w:rsidRPr="00323E33" w:rsidTr="00C45E32">
        <w:trPr>
          <w:trHeight w:val="745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B717F0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A785F" w:rsidRPr="00463864" w:rsidRDefault="006D0109" w:rsidP="001247EB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A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DF1971" w:rsidRDefault="00BA785F" w:rsidP="00DF1971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Décrire les compétences à </w:t>
      </w:r>
      <w:r w:rsidR="009527DC" w:rsidRPr="00DF1971">
        <w:rPr>
          <w:rFonts w:ascii="Candara" w:hAnsi="Candara"/>
          <w:i/>
          <w:iCs/>
          <w:color w:val="17365D"/>
          <w:sz w:val="20"/>
          <w:szCs w:val="20"/>
        </w:rPr>
        <w:t>acquérir visées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 par ce module</w:t>
      </w:r>
      <w:r w:rsid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370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627B" w:rsidRPr="00C45E32" w:rsidRDefault="0027627B" w:rsidP="00C45E32">
            <w:pPr>
              <w:autoSpaceDE w:val="0"/>
              <w:autoSpaceDN w:val="0"/>
              <w:bidi w:val="0"/>
              <w:adjustRightInd w:val="0"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C45E32">
              <w:rPr>
                <w:rFonts w:asciiTheme="majorBidi" w:eastAsiaTheme="minorHAnsi" w:hAnsiTheme="majorBidi" w:cstheme="majorBidi"/>
                <w:lang w:eastAsia="en-US"/>
              </w:rPr>
              <w:t>A l’issue du module l’étudiant doit être capable de :</w:t>
            </w:r>
          </w:p>
          <w:p w:rsidR="0010372A" w:rsidRPr="0010372A" w:rsidRDefault="0010372A" w:rsidP="0010372A">
            <w:pPr>
              <w:pStyle w:val="Paragraphedeliste"/>
              <w:numPr>
                <w:ilvl w:val="0"/>
                <w:numId w:val="13"/>
              </w:numPr>
              <w:bidi w:val="0"/>
              <w:spacing w:before="240" w:after="240" w:line="276" w:lineRule="auto"/>
              <w:jc w:val="both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10372A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>Maîtriser et questionner les notions centrales qui structurent le territoire mondial et ses mutations pluirielles ;</w:t>
            </w:r>
          </w:p>
          <w:p w:rsidR="0010372A" w:rsidRPr="0010372A" w:rsidRDefault="0010372A" w:rsidP="0010372A">
            <w:pPr>
              <w:pStyle w:val="Paragraphedeliste"/>
              <w:numPr>
                <w:ilvl w:val="0"/>
                <w:numId w:val="13"/>
              </w:numPr>
              <w:bidi w:val="0"/>
              <w:spacing w:before="240" w:after="240" w:line="276" w:lineRule="auto"/>
              <w:jc w:val="both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10372A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>Comprendre les caractéristiques de la géographie du monde contemporain : pays « avancés », pays « émergents » ;</w:t>
            </w:r>
          </w:p>
          <w:p w:rsidR="0010372A" w:rsidRPr="0010372A" w:rsidRDefault="0010372A" w:rsidP="0010372A">
            <w:pPr>
              <w:pStyle w:val="Paragraphedeliste"/>
              <w:numPr>
                <w:ilvl w:val="0"/>
                <w:numId w:val="13"/>
              </w:numPr>
              <w:bidi w:val="0"/>
              <w:spacing w:before="240" w:after="240" w:line="276" w:lineRule="auto"/>
              <w:jc w:val="both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10372A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>Maîtriser les approches pour analyser les mutations plurielles qui affectent le monde contemporain : approche territoriale ; approche géopolitique et approche géoéconomique ;</w:t>
            </w:r>
          </w:p>
          <w:p w:rsidR="0010372A" w:rsidRPr="0010372A" w:rsidRDefault="0010372A" w:rsidP="0010372A">
            <w:pPr>
              <w:pStyle w:val="Paragraphedeliste"/>
              <w:numPr>
                <w:ilvl w:val="0"/>
                <w:numId w:val="13"/>
              </w:numPr>
              <w:bidi w:val="0"/>
              <w:spacing w:before="240" w:after="240" w:line="276" w:lineRule="auto"/>
              <w:jc w:val="both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10372A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 xml:space="preserve">Comprendre les formes et les facteurs des mutations contemporaines : crises politiques, redéploiement de l’économie mondiale et repositionnement des puissances internationales </w:t>
            </w:r>
          </w:p>
          <w:p w:rsidR="0010372A" w:rsidRPr="0010372A" w:rsidRDefault="0010372A" w:rsidP="0010372A">
            <w:pPr>
              <w:pStyle w:val="Paragraphedeliste"/>
              <w:numPr>
                <w:ilvl w:val="0"/>
                <w:numId w:val="13"/>
              </w:numPr>
              <w:bidi w:val="0"/>
              <w:spacing w:before="240" w:after="240" w:line="276" w:lineRule="auto"/>
              <w:jc w:val="both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10372A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>Comprendre les inpacts de ces mutations mondiales sur les ressources naturelles, les valeurs universelles, les mobilités transnationales, les inégalités sociales.</w:t>
            </w:r>
          </w:p>
          <w:p w:rsidR="0010372A" w:rsidRPr="0010372A" w:rsidRDefault="0010372A" w:rsidP="0010372A">
            <w:pPr>
              <w:pStyle w:val="Paragraphedeliste"/>
              <w:numPr>
                <w:ilvl w:val="0"/>
                <w:numId w:val="13"/>
              </w:numPr>
              <w:tabs>
                <w:tab w:val="num" w:pos="137"/>
              </w:tabs>
              <w:bidi w:val="0"/>
              <w:spacing w:before="240" w:after="240" w:line="276" w:lineRule="auto"/>
              <w:jc w:val="both"/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</w:pPr>
            <w:r w:rsidRPr="0010372A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>Saisir la relation entre : mutations mondiales et mutations des territoires (urbains et ruraux) à l’échelle locale et régionale ;</w:t>
            </w:r>
          </w:p>
          <w:p w:rsidR="00BA785F" w:rsidRPr="00DF1971" w:rsidRDefault="0010372A" w:rsidP="0010372A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10372A">
              <w:rPr>
                <w:rFonts w:ascii="Candara" w:hAnsi="Candara"/>
                <w:noProof/>
                <w:sz w:val="22"/>
                <w:szCs w:val="22"/>
                <w:lang w:eastAsia="fr-FR"/>
              </w:rPr>
              <w:t>Maîtriser la cartographie des dynamiques de la géographie du monde </w:t>
            </w:r>
            <w:r w:rsidRPr="0010372A">
              <w:rPr>
                <w:rFonts w:ascii="Candara" w:hAnsi="Candara" w:cs="Verdana,Bold"/>
                <w:noProof/>
                <w:sz w:val="22"/>
                <w:szCs w:val="22"/>
                <w:lang w:eastAsia="fr-FR"/>
              </w:rPr>
              <w:t>;</w:t>
            </w:r>
          </w:p>
        </w:tc>
      </w:tr>
    </w:tbl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br w:type="page"/>
      </w: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Default="00B717F0" w:rsidP="00854AA9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p w:rsidR="00854AA9" w:rsidRPr="00854AA9" w:rsidRDefault="00854AA9" w:rsidP="00854AA9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854AA9" w:rsidRPr="00EA289B" w:rsidRDefault="00854AA9" w:rsidP="00854AA9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993"/>
        <w:gridCol w:w="850"/>
        <w:gridCol w:w="1453"/>
        <w:gridCol w:w="1666"/>
        <w:gridCol w:w="1701"/>
      </w:tblGrid>
      <w:tr w:rsidR="00854AA9" w:rsidRPr="00EA289B" w:rsidTr="00751050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854AA9" w:rsidRPr="00EA289B" w:rsidRDefault="00854AA9" w:rsidP="00FB1316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854AA9" w:rsidRPr="00EA289B" w:rsidTr="00751050">
        <w:trPr>
          <w:trHeight w:val="249"/>
          <w:jc w:val="center"/>
        </w:trPr>
        <w:tc>
          <w:tcPr>
            <w:tcW w:w="1595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854AA9" w:rsidRPr="00EA289B" w:rsidTr="00751050">
        <w:trPr>
          <w:trHeight w:val="134"/>
          <w:jc w:val="center"/>
        </w:trPr>
        <w:tc>
          <w:tcPr>
            <w:tcW w:w="1595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854AA9" w:rsidRDefault="00854AA9" w:rsidP="00751050">
      <w:pPr>
        <w:pStyle w:val="Paragraphedeliste"/>
        <w:numPr>
          <w:ilvl w:val="0"/>
          <w:numId w:val="10"/>
        </w:numPr>
        <w:bidi w:val="0"/>
        <w:spacing w:before="240"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BA785F" w:rsidRPr="00854AA9" w:rsidRDefault="00BA785F" w:rsidP="00BA785F">
      <w:pPr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89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43"/>
        <w:gridCol w:w="1843"/>
        <w:gridCol w:w="1833"/>
        <w:gridCol w:w="1540"/>
      </w:tblGrid>
      <w:tr w:rsidR="0027627B" w:rsidRPr="005F5AA1" w:rsidTr="00015744">
        <w:trPr>
          <w:trHeight w:val="464"/>
          <w:jc w:val="center"/>
        </w:trPr>
        <w:tc>
          <w:tcPr>
            <w:tcW w:w="18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7627B" w:rsidRPr="005F5AA1" w:rsidTr="00015744">
        <w:trPr>
          <w:trHeight w:val="272"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Présentiel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proofErr w:type="spellStart"/>
            <w:r w:rsidRPr="00D85BBE">
              <w:rPr>
                <w:rFonts w:ascii="Candara" w:hAnsi="Candara"/>
                <w:b/>
                <w:bCs/>
                <w:sz w:val="18"/>
                <w:szCs w:val="18"/>
              </w:rPr>
              <w:t>Distanciel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En alternance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</w:tr>
      <w:tr w:rsidR="0027627B" w:rsidRPr="000B0289" w:rsidTr="000F43A1">
        <w:trPr>
          <w:trHeight w:val="29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B0289" w:rsidRDefault="0027627B" w:rsidP="000F43A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48h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7627B" w:rsidRPr="00BE61F2" w:rsidTr="000F43A1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F43A1">
            <w:pPr>
              <w:bidi w:val="0"/>
              <w:jc w:val="center"/>
              <w:rPr>
                <w:rFonts w:ascii="Candara" w:hAnsi="Candara" w:cs="AL-Mohanad Bold"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BA785F" w:rsidRPr="00DF1971" w:rsidRDefault="00BA785F" w:rsidP="00854AA9">
      <w:pPr>
        <w:bidi w:val="0"/>
        <w:spacing w:before="120" w:after="120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Fournir une description détaillée des enseignements et/ou activités du module (Cours, TD, TP, Activités Pratiques,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="001E426A"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).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110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0372A" w:rsidRPr="0010372A" w:rsidRDefault="0010372A" w:rsidP="0010372A">
            <w:pPr>
              <w:pStyle w:val="Paragraphedeliste"/>
              <w:numPr>
                <w:ilvl w:val="0"/>
                <w:numId w:val="23"/>
              </w:numPr>
              <w:bidi w:val="0"/>
              <w:spacing w:before="120" w:after="120" w:line="276" w:lineRule="auto"/>
              <w:ind w:left="477"/>
              <w:jc w:val="both"/>
              <w:rPr>
                <w:rFonts w:ascii="Candara" w:hAnsi="Candara" w:cs="Arial"/>
                <w:color w:val="000000"/>
                <w:shd w:val="clear" w:color="auto" w:fill="FFFFFF"/>
              </w:rPr>
            </w:pPr>
            <w:r w:rsidRPr="0010372A">
              <w:rPr>
                <w:rFonts w:ascii="Candara" w:hAnsi="Candara" w:cs="Arial"/>
                <w:color w:val="000000"/>
                <w:shd w:val="clear" w:color="auto" w:fill="FFFFFF"/>
              </w:rPr>
              <w:t>Le Module vise à apporter des connaissances précises sur la géographie du monde et ses mutations contemporaines et à montrer comment ces mutations reflètent des logiques à la fois géopolitiques et géoéconomiques et impactent les ressources et les territoires (urbains et ruraux) tant à l’échelle locale qu’à l’échelle régionale.</w:t>
            </w:r>
          </w:p>
          <w:p w:rsidR="00BA785F" w:rsidRPr="0010372A" w:rsidRDefault="0010372A" w:rsidP="0010372A">
            <w:pPr>
              <w:pStyle w:val="Paragraphedeliste"/>
              <w:numPr>
                <w:ilvl w:val="0"/>
                <w:numId w:val="23"/>
              </w:numPr>
              <w:bidi w:val="0"/>
              <w:ind w:left="477"/>
              <w:jc w:val="both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10372A">
              <w:rPr>
                <w:rFonts w:ascii="Candara" w:hAnsi="Candara" w:cs="Arial"/>
                <w:color w:val="000000"/>
                <w:shd w:val="clear" w:color="auto" w:fill="FFFFFF"/>
              </w:rPr>
              <w:t xml:space="preserve">L’objectif est aussi de développer chez l’étudiant </w:t>
            </w:r>
            <w:r w:rsidRPr="0010372A">
              <w:rPr>
                <w:rFonts w:ascii="Candara" w:hAnsi="Candara" w:cs="Verdana,Bold"/>
                <w:noProof/>
                <w:lang w:eastAsia="fr-FR"/>
              </w:rPr>
              <w:t>des savoirs pratiques concernant l’analyse d’</w:t>
            </w:r>
            <w:r w:rsidRPr="0010372A">
              <w:rPr>
                <w:rFonts w:ascii="Candara" w:hAnsi="Candara"/>
                <w:noProof/>
                <w:lang w:eastAsia="fr-FR"/>
              </w:rPr>
              <w:t>un cas d’étude dans toutes ses dimensions, en le replaçant dans son contexte historique et géopolitique</w:t>
            </w:r>
            <w:r w:rsidRPr="0010372A">
              <w:rPr>
                <w:rFonts w:ascii="Candara" w:hAnsi="Candara" w:cs="Verdana,Bold"/>
                <w:noProof/>
                <w:lang w:eastAsia="fr-FR"/>
              </w:rPr>
              <w:t>.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Didactique du module </w:t>
      </w:r>
    </w:p>
    <w:p w:rsidR="00BA785F" w:rsidRPr="00DF1971" w:rsidRDefault="00BA785F" w:rsidP="00B325CE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Indiquer la méthodologie d’enseignement, les moyens pédagogiques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prévus ,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10372A">
        <w:trPr>
          <w:trHeight w:val="67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Méthodes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Cours magistraux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de groupe initiant les étudiants à l'esprit d’équipe.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Moyens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Ordinateurs et vidéo projecteur (data-show)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Support et documents didactiques pour renforcer les activités du cours et des travaux dirigés et des travaux de groupes.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>D</w:t>
            </w: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’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autres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moyens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et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méthodes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à </w:t>
            </w:r>
            <w:proofErr w:type="spellStart"/>
            <w:proofErr w:type="gramStart"/>
            <w:r w:rsidRPr="00C45E32">
              <w:rPr>
                <w:rFonts w:asciiTheme="majorBidi" w:hAnsiTheme="majorBidi" w:cstheme="majorBidi"/>
                <w:b/>
                <w:bCs/>
              </w:rPr>
              <w:t>déterminer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 :</w:t>
            </w:r>
            <w:proofErr w:type="gramEnd"/>
          </w:p>
          <w:p w:rsidR="00BB2A10" w:rsidRPr="00C45E32" w:rsidRDefault="00DF26B1" w:rsidP="00BB2A10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lastRenderedPageBreak/>
              <w:t xml:space="preserve"> </w:t>
            </w:r>
          </w:p>
          <w:p w:rsidR="00DF26B1" w:rsidRPr="00C45E32" w:rsidRDefault="00DF26B1" w:rsidP="00DF26B1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</w:p>
          <w:p w:rsidR="00BA785F" w:rsidRPr="0010372A" w:rsidRDefault="00BB2A10" w:rsidP="0010372A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BE4C8E">
              <w:rPr>
                <w:rFonts w:ascii="Candara" w:hAnsi="Candara"/>
                <w:sz w:val="20"/>
                <w:szCs w:val="20"/>
                <w:rtl/>
              </w:rPr>
              <w:t>….</w:t>
            </w:r>
          </w:p>
        </w:tc>
      </w:tr>
    </w:tbl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Modalités d’enseignement a distance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527DC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DF26B1">
        <w:trPr>
          <w:trHeight w:val="10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BE4C8E" w:rsidRDefault="00D05145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DF26B1">
        <w:trPr>
          <w:trHeight w:val="9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BE4C8E" w:rsidRDefault="00BA785F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BA785F" w:rsidRPr="00323E33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10372A" w:rsidRDefault="0010372A" w:rsidP="0010372A">
            <w:pPr>
              <w:pStyle w:val="Corpsdetexte"/>
              <w:ind w:left="360"/>
              <w:rPr>
                <w:rFonts w:ascii="Candara" w:hAnsi="Candara"/>
                <w:b/>
                <w:bCs w:val="0"/>
              </w:rPr>
            </w:pPr>
            <w:r>
              <w:rPr>
                <w:rFonts w:ascii="Wingdings" w:hAnsi="Wingdings"/>
                <w:bCs w:val="0"/>
                <w:highlight w:val="lightGray"/>
              </w:rPr>
              <w:sym w:font="Wingdings" w:char="F078"/>
            </w:r>
            <w:r>
              <w:rPr>
                <w:rFonts w:ascii="Wingdings" w:hAnsi="Wingdings"/>
                <w:b/>
                <w:bCs w:val="0"/>
              </w:rPr>
              <w:t></w:t>
            </w:r>
            <w:r>
              <w:rPr>
                <w:rFonts w:ascii="Candara" w:hAnsi="Candara"/>
                <w:b/>
                <w:bCs w:val="0"/>
                <w:sz w:val="22"/>
                <w:szCs w:val="22"/>
              </w:rPr>
              <w:t>Examen final de fin de semestre </w:t>
            </w:r>
          </w:p>
          <w:p w:rsidR="0010372A" w:rsidRDefault="0010372A" w:rsidP="0010372A">
            <w:pPr>
              <w:pStyle w:val="Corpsdetexte"/>
              <w:rPr>
                <w:rFonts w:ascii="Candara" w:hAnsi="Candara"/>
              </w:rPr>
            </w:pPr>
          </w:p>
          <w:p w:rsidR="0010372A" w:rsidRDefault="0010372A" w:rsidP="0010372A">
            <w:pPr>
              <w:pStyle w:val="Corpsdetexte"/>
              <w:ind w:left="360"/>
              <w:rPr>
                <w:rFonts w:ascii="Candara" w:hAnsi="Candara"/>
              </w:rPr>
            </w:pPr>
            <w:r>
              <w:rPr>
                <w:rFonts w:ascii="Wingdings" w:hAnsi="Wingdings"/>
                <w:highlight w:val="lightGray"/>
              </w:rPr>
              <w:sym w:font="Wingdings" w:char="F078"/>
            </w:r>
            <w:r>
              <w:rPr>
                <w:rFonts w:ascii="Candara" w:hAnsi="Candara"/>
                <w:b/>
                <w:bCs w:val="0"/>
                <w:sz w:val="22"/>
                <w:szCs w:val="22"/>
              </w:rPr>
              <w:t xml:space="preserve"> </w:t>
            </w:r>
            <w:r>
              <w:rPr>
                <w:rFonts w:ascii="Candara" w:hAnsi="Candara"/>
                <w:b/>
                <w:bCs w:val="0"/>
                <w:sz w:val="22"/>
                <w:szCs w:val="22"/>
              </w:rPr>
              <w:t>Contrôles continus </w:t>
            </w:r>
          </w:p>
          <w:p w:rsidR="0079045C" w:rsidRDefault="0010372A" w:rsidP="0010372A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lastRenderedPageBreak/>
              <w:t>Fiches de lecture ; Exposés ; cartographie</w:t>
            </w:r>
          </w:p>
          <w:p w:rsidR="0079045C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Pr="00323E33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DF1971" w:rsidRDefault="00BA785F" w:rsidP="004C6062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(Préciser les coefficients de pondération attribués aux différentes évaluations pour obtenir la note du module.)</w:t>
      </w: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C76342" w:rsidRDefault="0010372A" w:rsidP="0010372A">
            <w:pPr>
              <w:pStyle w:val="Corpsdetexte"/>
              <w:ind w:left="360"/>
              <w:rPr>
                <w:rFonts w:ascii="Candara" w:hAnsi="Candara"/>
                <w:b/>
                <w:bCs w:val="0"/>
                <w:sz w:val="22"/>
                <w:szCs w:val="22"/>
              </w:rPr>
            </w:pPr>
            <w:r>
              <w:rPr>
                <w:rFonts w:ascii="Wingdings" w:hAnsi="Wingdings"/>
                <w:bCs w:val="0"/>
                <w:sz w:val="22"/>
                <w:szCs w:val="22"/>
                <w:highlight w:val="lightGray"/>
              </w:rPr>
              <w:sym w:font="Wingdings" w:char="F078"/>
            </w:r>
            <w:r w:rsidR="00C76342">
              <w:rPr>
                <w:rFonts w:ascii="Candara" w:hAnsi="Candara"/>
                <w:b/>
                <w:bCs w:val="0"/>
                <w:sz w:val="22"/>
                <w:szCs w:val="22"/>
              </w:rPr>
              <w:t xml:space="preserve">Examen final de fin de semestre : </w:t>
            </w:r>
            <w:r>
              <w:rPr>
                <w:rFonts w:ascii="Candara" w:hAnsi="Candara"/>
                <w:b/>
                <w:bCs w:val="0"/>
                <w:sz w:val="22"/>
                <w:szCs w:val="22"/>
              </w:rPr>
              <w:t>5</w:t>
            </w:r>
            <w:r w:rsidR="00C76342">
              <w:rPr>
                <w:rFonts w:ascii="Candara" w:hAnsi="Candara"/>
                <w:b/>
                <w:bCs w:val="0"/>
                <w:sz w:val="22"/>
                <w:szCs w:val="22"/>
              </w:rPr>
              <w:t>0%</w:t>
            </w:r>
          </w:p>
          <w:p w:rsidR="00C76342" w:rsidRDefault="00C76342" w:rsidP="00C76342">
            <w:pPr>
              <w:pStyle w:val="Corpsdetexte"/>
              <w:rPr>
                <w:rFonts w:ascii="Candara" w:hAnsi="Candara"/>
              </w:rPr>
            </w:pPr>
          </w:p>
          <w:p w:rsidR="00C76342" w:rsidRDefault="0010372A" w:rsidP="0010372A">
            <w:pPr>
              <w:pStyle w:val="Corpsdetexte"/>
              <w:ind w:left="36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  <w:highlight w:val="lightGray"/>
              </w:rPr>
              <w:sym w:font="Wingdings" w:char="F078"/>
            </w:r>
            <w:r w:rsidR="00C76342">
              <w:rPr>
                <w:rFonts w:ascii="Candara" w:hAnsi="Candara"/>
                <w:b/>
                <w:bCs w:val="0"/>
                <w:sz w:val="22"/>
                <w:szCs w:val="22"/>
              </w:rPr>
              <w:t>Contrôles continus :</w:t>
            </w:r>
            <w:r>
              <w:rPr>
                <w:rFonts w:ascii="Candara" w:hAnsi="Candara"/>
                <w:b/>
                <w:bCs w:val="0"/>
                <w:sz w:val="22"/>
                <w:szCs w:val="22"/>
              </w:rPr>
              <w:t>50</w:t>
            </w:r>
            <w:r w:rsidR="00C76342" w:rsidRPr="00027465">
              <w:rPr>
                <w:rFonts w:ascii="Candara" w:hAnsi="Candara"/>
                <w:b/>
                <w:bCs w:val="0"/>
                <w:sz w:val="22"/>
                <w:szCs w:val="22"/>
              </w:rPr>
              <w:t>%</w:t>
            </w: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C45E32" w:rsidRDefault="00C45E3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DF1971" w:rsidRDefault="00BA785F" w:rsidP="00DF1971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4C6062" w:rsidRPr="004C6062" w:rsidRDefault="004C6062" w:rsidP="004C6062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4C6062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FC6BB0" w:rsidRDefault="004C6062" w:rsidP="004C121D">
            <w:pPr>
              <w:pStyle w:val="Corpsdetexte"/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>Liste des ouvrages proposés par l’enseignant :</w:t>
            </w:r>
            <w:r w:rsidR="00FC6BB0" w:rsidRPr="00FC6BB0">
              <w:rPr>
                <w:rFonts w:ascii="Candara" w:hAnsi="Candara"/>
                <w:sz w:val="22"/>
                <w:szCs w:val="22"/>
              </w:rPr>
              <w:t xml:space="preserve"> </w:t>
            </w:r>
          </w:p>
          <w:p w:rsidR="00FC6BB0" w:rsidRDefault="00FC6BB0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FC6BB0" w:rsidRPr="00FC6BB0" w:rsidRDefault="00FC6BB0" w:rsidP="00FC6BB0">
            <w:pPr>
              <w:pStyle w:val="Corpsdetexte"/>
              <w:numPr>
                <w:ilvl w:val="0"/>
                <w:numId w:val="27"/>
              </w:numPr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 xml:space="preserve">BELLO W., 2011, La démondialisation, Paris, Le Serpent à Plumes. </w:t>
            </w:r>
          </w:p>
          <w:p w:rsidR="00FC6BB0" w:rsidRPr="00FC6BB0" w:rsidRDefault="00FC6BB0" w:rsidP="00FC6BB0">
            <w:pPr>
              <w:pStyle w:val="Corpsdetexte"/>
              <w:numPr>
                <w:ilvl w:val="0"/>
                <w:numId w:val="27"/>
              </w:numPr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>BOST, F., 2013, Les pays développés à l’épreuve de la désindustrialisation, In Images économiques du monde 2014, Paris, Armand Colin, p. 9-26.</w:t>
            </w:r>
          </w:p>
          <w:p w:rsidR="00FC6BB0" w:rsidRPr="00FC6BB0" w:rsidRDefault="00FC6BB0" w:rsidP="00FC6BB0">
            <w:pPr>
              <w:pStyle w:val="Corpsdetexte"/>
              <w:numPr>
                <w:ilvl w:val="0"/>
                <w:numId w:val="27"/>
              </w:numPr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>CARROUÉ, L., 2018, Atlas de la mondialisation. Une seule terre, des mondes, Paris, éditions Autrement, coll. « Atlas/Monde ».</w:t>
            </w:r>
          </w:p>
          <w:p w:rsidR="00FC6BB0" w:rsidRPr="00FC6BB0" w:rsidRDefault="00FC6BB0" w:rsidP="00FC6BB0">
            <w:pPr>
              <w:pStyle w:val="Corpsdetexte"/>
              <w:numPr>
                <w:ilvl w:val="0"/>
                <w:numId w:val="27"/>
              </w:numPr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>COHEN, D., 2004, La mondialisation et ses ennemis, Paris, Grasset, coll. « Pluriel ».</w:t>
            </w:r>
          </w:p>
          <w:p w:rsidR="00FC6BB0" w:rsidRPr="00FC6BB0" w:rsidRDefault="00FC6BB0" w:rsidP="00FC6BB0">
            <w:pPr>
              <w:pStyle w:val="Corpsdetexte"/>
              <w:numPr>
                <w:ilvl w:val="0"/>
                <w:numId w:val="27"/>
              </w:numPr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>COHEN, E., 2013, Crise ou changement de modèle ? Paris, La Documentation Française.</w:t>
            </w:r>
          </w:p>
          <w:p w:rsidR="00FC6BB0" w:rsidRPr="00FC6BB0" w:rsidRDefault="00FC6BB0" w:rsidP="00FC6BB0">
            <w:pPr>
              <w:pStyle w:val="Corpsdetexte"/>
              <w:numPr>
                <w:ilvl w:val="0"/>
                <w:numId w:val="27"/>
              </w:numPr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>DURAND M.-F. ; LÉVY J. ; RETAILLÉ, D., (1992), Le Monde espace et systèmes, Paris, Presses de la FNSP &amp; Dalloz.</w:t>
            </w:r>
          </w:p>
          <w:p w:rsidR="00FC6BB0" w:rsidRPr="00FC6BB0" w:rsidRDefault="00FC6BB0" w:rsidP="00FC6BB0">
            <w:pPr>
              <w:pStyle w:val="Corpsdetexte"/>
              <w:numPr>
                <w:ilvl w:val="0"/>
                <w:numId w:val="27"/>
              </w:numPr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>ELISSALDE, B., 2000, « Géographie, temps e</w:t>
            </w:r>
            <w:bookmarkStart w:id="0" w:name="_GoBack"/>
            <w:bookmarkEnd w:id="0"/>
            <w:r w:rsidRPr="00FC6BB0">
              <w:rPr>
                <w:rFonts w:ascii="Candara" w:hAnsi="Candara"/>
                <w:sz w:val="22"/>
                <w:szCs w:val="22"/>
              </w:rPr>
              <w:t>t changement spatial », L’Espace géographique, tome 29, n°3, pp. 224-236.</w:t>
            </w:r>
          </w:p>
          <w:p w:rsidR="00FC6BB0" w:rsidRPr="00FC6BB0" w:rsidRDefault="00FC6BB0" w:rsidP="00FC6BB0">
            <w:pPr>
              <w:pStyle w:val="Corpsdetexte"/>
              <w:numPr>
                <w:ilvl w:val="0"/>
                <w:numId w:val="27"/>
              </w:numPr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>GHORRA-GOBIN, C., (</w:t>
            </w:r>
            <w:proofErr w:type="spellStart"/>
            <w:r w:rsidRPr="00FC6BB0">
              <w:rPr>
                <w:rFonts w:ascii="Candara" w:hAnsi="Candara"/>
                <w:sz w:val="22"/>
                <w:szCs w:val="22"/>
              </w:rPr>
              <w:t>dir</w:t>
            </w:r>
            <w:proofErr w:type="spellEnd"/>
            <w:r w:rsidRPr="00FC6BB0">
              <w:rPr>
                <w:rFonts w:ascii="Candara" w:hAnsi="Candara"/>
                <w:sz w:val="22"/>
                <w:szCs w:val="22"/>
              </w:rPr>
              <w:t>.), (2012), Dictionnaire critique de la mondialisation, Paris, Armand Colin.</w:t>
            </w:r>
          </w:p>
          <w:p w:rsidR="00FC6BB0" w:rsidRPr="00FC6BB0" w:rsidRDefault="00FC6BB0" w:rsidP="00FC6BB0">
            <w:pPr>
              <w:pStyle w:val="Corpsdetexte"/>
              <w:numPr>
                <w:ilvl w:val="0"/>
                <w:numId w:val="27"/>
              </w:numPr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>HARVEY, D., 2008, Géographie de la domination, Paris, Les Prairies Ordinaires.</w:t>
            </w:r>
          </w:p>
          <w:p w:rsidR="00FC6BB0" w:rsidRPr="00FC6BB0" w:rsidRDefault="00FC6BB0" w:rsidP="00FC6BB0">
            <w:pPr>
              <w:pStyle w:val="Corpsdetexte"/>
              <w:numPr>
                <w:ilvl w:val="0"/>
                <w:numId w:val="27"/>
              </w:numPr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 xml:space="preserve">HARVEY, D., 2011, The </w:t>
            </w:r>
            <w:proofErr w:type="spellStart"/>
            <w:r w:rsidRPr="00FC6BB0">
              <w:rPr>
                <w:rFonts w:ascii="Candara" w:hAnsi="Candara"/>
                <w:sz w:val="22"/>
                <w:szCs w:val="22"/>
              </w:rPr>
              <w:t>Enigma</w:t>
            </w:r>
            <w:proofErr w:type="spellEnd"/>
            <w:r w:rsidRPr="00FC6BB0">
              <w:rPr>
                <w:rFonts w:ascii="Candara" w:hAnsi="Candara"/>
                <w:sz w:val="22"/>
                <w:szCs w:val="22"/>
              </w:rPr>
              <w:t xml:space="preserve"> of Capital and the Crises of </w:t>
            </w:r>
            <w:proofErr w:type="spellStart"/>
            <w:r w:rsidRPr="00FC6BB0">
              <w:rPr>
                <w:rFonts w:ascii="Candara" w:hAnsi="Candara"/>
                <w:sz w:val="22"/>
                <w:szCs w:val="22"/>
              </w:rPr>
              <w:t>Capitalism</w:t>
            </w:r>
            <w:proofErr w:type="spellEnd"/>
            <w:r w:rsidRPr="00FC6BB0">
              <w:rPr>
                <w:rFonts w:ascii="Candara" w:hAnsi="Candara"/>
                <w:sz w:val="22"/>
                <w:szCs w:val="22"/>
              </w:rPr>
              <w:t xml:space="preserve">, New York, Oxford </w:t>
            </w:r>
            <w:proofErr w:type="spellStart"/>
            <w:r w:rsidRPr="00FC6BB0">
              <w:rPr>
                <w:rFonts w:ascii="Candara" w:hAnsi="Candara"/>
                <w:sz w:val="22"/>
                <w:szCs w:val="22"/>
              </w:rPr>
              <w:t>University</w:t>
            </w:r>
            <w:proofErr w:type="spellEnd"/>
            <w:r w:rsidRPr="00FC6BB0">
              <w:rPr>
                <w:rFonts w:ascii="Candara" w:hAnsi="Candara"/>
                <w:sz w:val="22"/>
                <w:szCs w:val="22"/>
              </w:rPr>
              <w:t xml:space="preserve"> </w:t>
            </w:r>
            <w:proofErr w:type="spellStart"/>
            <w:r w:rsidRPr="00FC6BB0">
              <w:rPr>
                <w:rFonts w:ascii="Candara" w:hAnsi="Candara"/>
                <w:sz w:val="22"/>
                <w:szCs w:val="22"/>
              </w:rPr>
              <w:t>Press</w:t>
            </w:r>
            <w:proofErr w:type="spellEnd"/>
            <w:r w:rsidRPr="00FC6BB0">
              <w:rPr>
                <w:rFonts w:ascii="Candara" w:hAnsi="Candara"/>
                <w:sz w:val="22"/>
                <w:szCs w:val="22"/>
              </w:rPr>
              <w:t>.</w:t>
            </w:r>
          </w:p>
          <w:p w:rsidR="00FC6BB0" w:rsidRPr="00FC6BB0" w:rsidRDefault="00FC6BB0" w:rsidP="00FC6BB0">
            <w:pPr>
              <w:pStyle w:val="Corpsdetexte"/>
              <w:numPr>
                <w:ilvl w:val="0"/>
                <w:numId w:val="27"/>
              </w:numPr>
              <w:rPr>
                <w:rFonts w:ascii="Candara" w:hAnsi="Candara"/>
                <w:sz w:val="22"/>
                <w:szCs w:val="22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>KNAFOU, R., (</w:t>
            </w:r>
            <w:proofErr w:type="spellStart"/>
            <w:r w:rsidRPr="00FC6BB0">
              <w:rPr>
                <w:rFonts w:ascii="Candara" w:hAnsi="Candara"/>
                <w:sz w:val="22"/>
                <w:szCs w:val="22"/>
              </w:rPr>
              <w:t>dir</w:t>
            </w:r>
            <w:proofErr w:type="spellEnd"/>
            <w:r w:rsidRPr="00FC6BB0">
              <w:rPr>
                <w:rFonts w:ascii="Candara" w:hAnsi="Candara"/>
                <w:sz w:val="22"/>
                <w:szCs w:val="22"/>
              </w:rPr>
              <w:t>.), 1998, La planète “nomade”. Les mobilités géographiques d’aujourd’hui, Paris, Belin.</w:t>
            </w:r>
          </w:p>
          <w:p w:rsidR="00FC6BB0" w:rsidRDefault="00FC6BB0" w:rsidP="00FC6BB0">
            <w:pPr>
              <w:pStyle w:val="bibliographie"/>
              <w:numPr>
                <w:ilvl w:val="0"/>
                <w:numId w:val="27"/>
              </w:numPr>
              <w:shd w:val="clear" w:color="auto" w:fill="FFFFFF"/>
              <w:spacing w:before="0" w:beforeAutospacing="0" w:after="240" w:afterAutospacing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FC6BB0">
              <w:rPr>
                <w:rFonts w:ascii="Candara" w:hAnsi="Candara"/>
                <w:sz w:val="22"/>
                <w:szCs w:val="22"/>
              </w:rPr>
              <w:t>LAIDI A., 2014, « La guerre économique : une réalité… malgré le déni ! L’éternel drame des grandes puissances », Diplomatie, Les grands dossiers, décembre-2014-</w:t>
            </w:r>
            <w:proofErr w:type="gramStart"/>
            <w:r w:rsidRPr="00FC6BB0">
              <w:rPr>
                <w:rFonts w:ascii="Candara" w:hAnsi="Candara"/>
                <w:sz w:val="22"/>
                <w:szCs w:val="22"/>
              </w:rPr>
              <w:t>janvier</w:t>
            </w:r>
            <w:r w:rsidR="004C6062" w:rsidRPr="00FC6BB0">
              <w:rPr>
                <w:rFonts w:ascii="Candara" w:hAnsi="Candara"/>
                <w:sz w:val="22"/>
                <w:szCs w:val="22"/>
              </w:rPr>
              <w:t xml:space="preserve"> </w:t>
            </w:r>
            <w:r>
              <w:rPr>
                <w:rFonts w:ascii="Candara" w:hAnsi="Candara"/>
                <w:sz w:val="20"/>
                <w:szCs w:val="20"/>
              </w:rPr>
              <w:t xml:space="preserve"> </w:t>
            </w: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2015</w:t>
            </w:r>
            <w:proofErr w:type="gramEnd"/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, p. 8-13.</w:t>
            </w:r>
          </w:p>
          <w:p w:rsidR="00FC6BB0" w:rsidRPr="00AD6AC5" w:rsidRDefault="00FC6BB0" w:rsidP="00FC6BB0">
            <w:pPr>
              <w:pStyle w:val="bibliographie"/>
              <w:numPr>
                <w:ilvl w:val="0"/>
                <w:numId w:val="27"/>
              </w:numPr>
              <w:shd w:val="clear" w:color="auto" w:fill="FFFFFF"/>
              <w:spacing w:before="0" w:beforeAutospacing="0" w:after="240" w:afterAutospacing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LAMY, P. ; GNESOTTO, N., 2017, </w:t>
            </w:r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</w:rPr>
              <w:t>Où va le monde ? Le marché ou la force</w:t>
            </w: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, Paris, Odile Jacob.</w:t>
            </w:r>
          </w:p>
          <w:p w:rsidR="00FC6BB0" w:rsidRPr="00AD6AC5" w:rsidRDefault="00FC6BB0" w:rsidP="00FC6BB0">
            <w:pPr>
              <w:pStyle w:val="bibliographie"/>
              <w:numPr>
                <w:ilvl w:val="0"/>
                <w:numId w:val="27"/>
              </w:numPr>
              <w:shd w:val="clear" w:color="auto" w:fill="FFFFFF"/>
              <w:spacing w:before="0" w:beforeAutospacing="0" w:after="240" w:afterAutospacing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LEVY, J., (</w:t>
            </w:r>
            <w:proofErr w:type="spellStart"/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dir</w:t>
            </w:r>
            <w:proofErr w:type="spellEnd"/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.), 2008, </w:t>
            </w:r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</w:rPr>
              <w:t>L’invention du monde</w:t>
            </w: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, Paris, Presses de Sciences-Po.</w:t>
            </w:r>
          </w:p>
          <w:p w:rsidR="00FC6BB0" w:rsidRPr="00AD6AC5" w:rsidRDefault="00FC6BB0" w:rsidP="00FC6BB0">
            <w:pPr>
              <w:pStyle w:val="bibliographie"/>
              <w:numPr>
                <w:ilvl w:val="0"/>
                <w:numId w:val="27"/>
              </w:numPr>
              <w:shd w:val="clear" w:color="auto" w:fill="FFFFFF"/>
              <w:spacing w:before="0" w:beforeAutospacing="0" w:after="240" w:afterAutospacing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LEFEBVRE, H., 2000, </w:t>
            </w:r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</w:rPr>
              <w:t>La production de l’espace</w:t>
            </w: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 xml:space="preserve">, Paris, </w:t>
            </w:r>
            <w:proofErr w:type="spellStart"/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Anthropos</w:t>
            </w:r>
            <w:proofErr w:type="spellEnd"/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 xml:space="preserve"> [1</w:t>
            </w:r>
            <w:r w:rsidRPr="00AD6AC5">
              <w:rPr>
                <w:rFonts w:ascii="Verdana" w:hAnsi="Verdana"/>
                <w:color w:val="000000"/>
                <w:sz w:val="20"/>
                <w:szCs w:val="20"/>
                <w:vertAlign w:val="superscript"/>
              </w:rPr>
              <w:t>ère</w:t>
            </w: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 édition 1974].</w:t>
            </w: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br/>
              <w:t>DOI : </w:t>
            </w:r>
            <w:hyperlink r:id="rId8" w:history="1">
              <w:r w:rsidRPr="00AD6AC5">
                <w:rPr>
                  <w:rStyle w:val="Lienhypertexte"/>
                  <w:rFonts w:ascii="Verdana" w:hAnsi="Verdana"/>
                  <w:color w:val="84461E"/>
                  <w:sz w:val="20"/>
                  <w:szCs w:val="20"/>
                </w:rPr>
                <w:t>10.3406/homso.1974.1855</w:t>
              </w:r>
            </w:hyperlink>
          </w:p>
          <w:p w:rsidR="00FC6BB0" w:rsidRPr="00AD6AC5" w:rsidRDefault="00FC6BB0" w:rsidP="00FC6BB0">
            <w:pPr>
              <w:pStyle w:val="bibliographie"/>
              <w:numPr>
                <w:ilvl w:val="0"/>
                <w:numId w:val="27"/>
              </w:numPr>
              <w:shd w:val="clear" w:color="auto" w:fill="FFFFFF"/>
              <w:spacing w:before="0" w:beforeAutospacing="0" w:after="240" w:afterAutospacing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LORENZI, J.-H. ; BERREBI, M., 2014, </w:t>
            </w:r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</w:rPr>
              <w:t>Un monde de violences. L’économie mondiale 2015-2030</w:t>
            </w: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, Paris, Eyrolles.</w:t>
            </w:r>
          </w:p>
          <w:p w:rsidR="00FC6BB0" w:rsidRPr="00AD6AC5" w:rsidRDefault="00FC6BB0" w:rsidP="00FC6BB0">
            <w:pPr>
              <w:pStyle w:val="bibliographie"/>
              <w:numPr>
                <w:ilvl w:val="0"/>
                <w:numId w:val="27"/>
              </w:numPr>
              <w:shd w:val="clear" w:color="auto" w:fill="FFFFFF"/>
              <w:spacing w:before="0" w:beforeAutospacing="0" w:after="240" w:afterAutospacing="0"/>
              <w:jc w:val="both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 xml:space="preserve">LORENZI Jean-Hervé, 2014, Le choc de la désindustrialisation, in J.-H. </w:t>
            </w:r>
            <w:proofErr w:type="spellStart"/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Lorenzi</w:t>
            </w:r>
            <w:proofErr w:type="spellEnd"/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 xml:space="preserve"> et M. </w:t>
            </w:r>
            <w:proofErr w:type="spellStart"/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Barberi</w:t>
            </w:r>
            <w:proofErr w:type="spellEnd"/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, </w:t>
            </w:r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</w:rPr>
              <w:t xml:space="preserve">Un monde de violences. </w:t>
            </w:r>
            <w:proofErr w:type="spellStart"/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  <w:lang w:val="en-US"/>
              </w:rPr>
              <w:t>L’économie</w:t>
            </w:r>
            <w:proofErr w:type="spellEnd"/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  <w:lang w:val="en-US"/>
              </w:rPr>
              <w:t>mondiale</w:t>
            </w:r>
            <w:proofErr w:type="spellEnd"/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  <w:lang w:val="en-US"/>
              </w:rPr>
              <w:t>, 2015-2030</w:t>
            </w:r>
            <w:r w:rsidRPr="00AD6AC5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, Paris, </w:t>
            </w:r>
            <w:proofErr w:type="spellStart"/>
            <w:r w:rsidRPr="00AD6AC5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Eyrolles</w:t>
            </w:r>
            <w:proofErr w:type="spellEnd"/>
            <w:r w:rsidRPr="00AD6AC5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, p. 109-145.</w:t>
            </w:r>
          </w:p>
          <w:p w:rsidR="00FC6BB0" w:rsidRPr="00AD6AC5" w:rsidRDefault="00FC6BB0" w:rsidP="00FC6BB0">
            <w:pPr>
              <w:pStyle w:val="bibliographie"/>
              <w:numPr>
                <w:ilvl w:val="0"/>
                <w:numId w:val="27"/>
              </w:numPr>
              <w:shd w:val="clear" w:color="auto" w:fill="FFFFFF"/>
              <w:spacing w:before="0" w:beforeAutospacing="0" w:after="240" w:afterAutospacing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NESTA, L., 2010, « Désindustrialisation ou mutation industrielle ? », </w:t>
            </w:r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</w:rPr>
              <w:t>Economie et statistique</w:t>
            </w: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, Vol. n° 438-440, p. 297-301.</w:t>
            </w:r>
          </w:p>
          <w:p w:rsidR="00FC6BB0" w:rsidRPr="00AD6AC5" w:rsidRDefault="00FC6BB0" w:rsidP="00FC6BB0">
            <w:pPr>
              <w:pStyle w:val="bibliographie"/>
              <w:numPr>
                <w:ilvl w:val="0"/>
                <w:numId w:val="27"/>
              </w:numPr>
              <w:shd w:val="clear" w:color="auto" w:fill="FFFFFF"/>
              <w:spacing w:before="0" w:beforeAutospacing="0" w:after="240" w:afterAutospacing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PAILLARD Christophe-Alexandre, 2015, </w:t>
            </w:r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</w:rPr>
              <w:t>Les nouvelles guerres économiques</w:t>
            </w: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, Paris, Ophrys.</w:t>
            </w:r>
          </w:p>
          <w:p w:rsidR="00FC6BB0" w:rsidRPr="00AD6AC5" w:rsidRDefault="00FC6BB0" w:rsidP="00FC6BB0">
            <w:pPr>
              <w:pStyle w:val="bibliographie"/>
              <w:numPr>
                <w:ilvl w:val="0"/>
                <w:numId w:val="27"/>
              </w:numPr>
              <w:shd w:val="clear" w:color="auto" w:fill="FFFFFF"/>
              <w:spacing w:before="0" w:beforeAutospacing="0" w:after="240" w:afterAutospacing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SAPIR, J., 2011, </w:t>
            </w:r>
            <w:r w:rsidRPr="00AD6AC5">
              <w:rPr>
                <w:rStyle w:val="Accentuation"/>
                <w:rFonts w:ascii="Verdana" w:hAnsi="Verdana"/>
                <w:color w:val="000000"/>
                <w:sz w:val="20"/>
                <w:szCs w:val="20"/>
              </w:rPr>
              <w:t>La démondialisation</w:t>
            </w: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>, Paris, Le Seuil, coll. « Points Seuil ».</w:t>
            </w:r>
          </w:p>
          <w:p w:rsidR="00BA785F" w:rsidRPr="00FC6BB0" w:rsidRDefault="00FC6BB0" w:rsidP="00FC6BB0">
            <w:pPr>
              <w:pStyle w:val="bibliographie"/>
              <w:numPr>
                <w:ilvl w:val="0"/>
                <w:numId w:val="27"/>
              </w:numPr>
              <w:shd w:val="clear" w:color="auto" w:fill="FFFFFF"/>
              <w:spacing w:before="0" w:beforeAutospacing="0" w:after="240" w:afterAutospacing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AD6AC5">
              <w:rPr>
                <w:rFonts w:ascii="Verdana" w:hAnsi="Verdana"/>
                <w:color w:val="000000"/>
                <w:sz w:val="20"/>
                <w:szCs w:val="20"/>
              </w:rPr>
              <w:t xml:space="preserve">SOJA, E., 1989, </w:t>
            </w:r>
            <w:proofErr w:type="spellStart"/>
            <w:r w:rsidRPr="00662825">
              <w:rPr>
                <w:rFonts w:ascii="Verdana" w:hAnsi="Verdana"/>
                <w:i/>
                <w:iCs/>
                <w:color w:val="000000"/>
                <w:sz w:val="20"/>
                <w:szCs w:val="20"/>
              </w:rPr>
              <w:t>Postmodern</w:t>
            </w:r>
            <w:proofErr w:type="spellEnd"/>
            <w:r w:rsidRPr="00662825">
              <w:rPr>
                <w:rFonts w:ascii="Verdana" w:hAnsi="Verdana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2825">
              <w:rPr>
                <w:rFonts w:ascii="Verdana" w:hAnsi="Verdana"/>
                <w:i/>
                <w:iCs/>
                <w:color w:val="000000"/>
                <w:sz w:val="20"/>
                <w:szCs w:val="20"/>
              </w:rPr>
              <w:t>geographies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, Londres, Basil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Blackwell</w:t>
            </w:r>
            <w:proofErr w:type="spellEnd"/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C6062">
        <w:trPr>
          <w:trHeight w:val="185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6062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9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CA7" w:rsidRDefault="008A5CA7" w:rsidP="009527DC">
      <w:r>
        <w:separator/>
      </w:r>
    </w:p>
  </w:endnote>
  <w:endnote w:type="continuationSeparator" w:id="0">
    <w:p w:rsidR="008A5CA7" w:rsidRDefault="008A5CA7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L-Mohanad Bold">
    <w:altName w:val="Times New Roman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FC6BB0">
      <w:rPr>
        <w:caps/>
        <w:noProof/>
        <w:color w:val="5B9BD5" w:themeColor="accent1"/>
        <w:rtl/>
      </w:rPr>
      <w:t>3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CA7" w:rsidRDefault="008A5CA7" w:rsidP="009527DC">
      <w:r>
        <w:separator/>
      </w:r>
    </w:p>
  </w:footnote>
  <w:footnote w:type="continuationSeparator" w:id="0">
    <w:p w:rsidR="008A5CA7" w:rsidRDefault="008A5CA7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0EE2"/>
    <w:multiLevelType w:val="multilevel"/>
    <w:tmpl w:val="D5E0AA68"/>
    <w:lvl w:ilvl="0">
      <w:start w:val="1"/>
      <w:numFmt w:val="irohaFullWidth"/>
      <w:lvlText w:val="-"/>
      <w:lvlJc w:val="left"/>
      <w:pPr>
        <w:tabs>
          <w:tab w:val="num" w:pos="4471"/>
        </w:tabs>
        <w:ind w:left="44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irohaFullWidth"/>
      <w:lvlText w:val="o"/>
      <w:lvlJc w:val="left"/>
      <w:pPr>
        <w:tabs>
          <w:tab w:val="num" w:pos="5191"/>
        </w:tabs>
        <w:ind w:left="5191" w:hanging="360"/>
      </w:pPr>
      <w:rPr>
        <w:rFonts w:ascii="Times New Roman" w:hAnsi="Times New Roman" w:cs="Times New Roman" w:hint="default"/>
      </w:rPr>
    </w:lvl>
    <w:lvl w:ilvl="2">
      <w:start w:val="1"/>
      <w:numFmt w:val="irohaFullWidth"/>
      <w:lvlText w:val=""/>
      <w:lvlJc w:val="left"/>
      <w:pPr>
        <w:tabs>
          <w:tab w:val="num" w:pos="5911"/>
        </w:tabs>
        <w:ind w:left="5911" w:hanging="360"/>
      </w:pPr>
      <w:rPr>
        <w:rFonts w:ascii="Times New Roman" w:hAnsi="Times New Roman" w:cs="Times New Roman" w:hint="default"/>
      </w:rPr>
    </w:lvl>
    <w:lvl w:ilvl="3">
      <w:start w:val="1"/>
      <w:numFmt w:val="irohaFullWidth"/>
      <w:lvlText w:val=""/>
      <w:lvlJc w:val="left"/>
      <w:pPr>
        <w:tabs>
          <w:tab w:val="num" w:pos="6631"/>
        </w:tabs>
        <w:ind w:left="6631" w:hanging="360"/>
      </w:pPr>
      <w:rPr>
        <w:rFonts w:ascii="Times New Roman" w:hAnsi="Times New Roman" w:cs="Times New Roman" w:hint="default"/>
      </w:rPr>
    </w:lvl>
    <w:lvl w:ilvl="4">
      <w:start w:val="1"/>
      <w:numFmt w:val="irohaFullWidth"/>
      <w:lvlText w:val="o"/>
      <w:lvlJc w:val="left"/>
      <w:pPr>
        <w:tabs>
          <w:tab w:val="num" w:pos="7351"/>
        </w:tabs>
        <w:ind w:left="7351" w:hanging="360"/>
      </w:pPr>
      <w:rPr>
        <w:rFonts w:ascii="Times New Roman" w:hAnsi="Times New Roman" w:cs="Times New Roman" w:hint="default"/>
      </w:rPr>
    </w:lvl>
    <w:lvl w:ilvl="5">
      <w:start w:val="1"/>
      <w:numFmt w:val="irohaFullWidth"/>
      <w:lvlText w:val=""/>
      <w:lvlJc w:val="left"/>
      <w:pPr>
        <w:tabs>
          <w:tab w:val="num" w:pos="8071"/>
        </w:tabs>
        <w:ind w:left="8071" w:hanging="360"/>
      </w:pPr>
      <w:rPr>
        <w:rFonts w:ascii="Times New Roman" w:hAnsi="Times New Roman" w:cs="Times New Roman" w:hint="default"/>
      </w:rPr>
    </w:lvl>
    <w:lvl w:ilvl="6">
      <w:start w:val="1"/>
      <w:numFmt w:val="irohaFullWidth"/>
      <w:lvlText w:val=""/>
      <w:lvlJc w:val="left"/>
      <w:pPr>
        <w:tabs>
          <w:tab w:val="num" w:pos="8791"/>
        </w:tabs>
        <w:ind w:left="8791" w:hanging="360"/>
      </w:pPr>
      <w:rPr>
        <w:rFonts w:ascii="Times New Roman" w:hAnsi="Times New Roman" w:cs="Times New Roman" w:hint="default"/>
      </w:rPr>
    </w:lvl>
    <w:lvl w:ilvl="7">
      <w:start w:val="1"/>
      <w:numFmt w:val="irohaFullWidth"/>
      <w:lvlText w:val="o"/>
      <w:lvlJc w:val="left"/>
      <w:pPr>
        <w:tabs>
          <w:tab w:val="num" w:pos="9511"/>
        </w:tabs>
        <w:ind w:left="9511" w:hanging="360"/>
      </w:pPr>
      <w:rPr>
        <w:rFonts w:ascii="Times New Roman" w:hAnsi="Times New Roman" w:cs="Times New Roman" w:hint="default"/>
      </w:rPr>
    </w:lvl>
    <w:lvl w:ilvl="8">
      <w:start w:val="1"/>
      <w:numFmt w:val="irohaFullWidth"/>
      <w:lvlText w:val=""/>
      <w:lvlJc w:val="left"/>
      <w:pPr>
        <w:tabs>
          <w:tab w:val="num" w:pos="10231"/>
        </w:tabs>
        <w:ind w:left="10231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8F0EF4"/>
    <w:multiLevelType w:val="hybridMultilevel"/>
    <w:tmpl w:val="099AA8E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43851"/>
    <w:multiLevelType w:val="hybridMultilevel"/>
    <w:tmpl w:val="8048D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D5FEB"/>
    <w:multiLevelType w:val="hybridMultilevel"/>
    <w:tmpl w:val="B38818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6E54E5"/>
    <w:multiLevelType w:val="hybridMultilevel"/>
    <w:tmpl w:val="32986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A27BC"/>
    <w:multiLevelType w:val="hybridMultilevel"/>
    <w:tmpl w:val="C8CCBB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70F5"/>
    <w:multiLevelType w:val="hybridMultilevel"/>
    <w:tmpl w:val="C006294A"/>
    <w:lvl w:ilvl="0" w:tplc="35E29F68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14E65"/>
    <w:multiLevelType w:val="hybridMultilevel"/>
    <w:tmpl w:val="82BAB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41596"/>
    <w:multiLevelType w:val="hybridMultilevel"/>
    <w:tmpl w:val="8F145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E6C33"/>
    <w:multiLevelType w:val="hybridMultilevel"/>
    <w:tmpl w:val="4B42A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5054D"/>
    <w:multiLevelType w:val="hybridMultilevel"/>
    <w:tmpl w:val="2E865A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C4E0D"/>
    <w:multiLevelType w:val="hybridMultilevel"/>
    <w:tmpl w:val="1C3C965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B1E6A"/>
    <w:multiLevelType w:val="hybridMultilevel"/>
    <w:tmpl w:val="1012DB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B6BED"/>
    <w:multiLevelType w:val="hybridMultilevel"/>
    <w:tmpl w:val="1E1C6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46AB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E2A7664"/>
    <w:multiLevelType w:val="hybridMultilevel"/>
    <w:tmpl w:val="DF3CA5E2"/>
    <w:lvl w:ilvl="0" w:tplc="06460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0"/>
  </w:num>
  <w:num w:numId="4">
    <w:abstractNumId w:val="24"/>
  </w:num>
  <w:num w:numId="5">
    <w:abstractNumId w:val="3"/>
  </w:num>
  <w:num w:numId="6">
    <w:abstractNumId w:val="2"/>
  </w:num>
  <w:num w:numId="7">
    <w:abstractNumId w:val="0"/>
  </w:num>
  <w:num w:numId="8">
    <w:abstractNumId w:val="13"/>
  </w:num>
  <w:num w:numId="9">
    <w:abstractNumId w:val="20"/>
  </w:num>
  <w:num w:numId="10">
    <w:abstractNumId w:val="21"/>
  </w:num>
  <w:num w:numId="11">
    <w:abstractNumId w:val="5"/>
  </w:num>
  <w:num w:numId="12">
    <w:abstractNumId w:val="19"/>
  </w:num>
  <w:num w:numId="13">
    <w:abstractNumId w:val="23"/>
  </w:num>
  <w:num w:numId="14">
    <w:abstractNumId w:val="25"/>
  </w:num>
  <w:num w:numId="15">
    <w:abstractNumId w:val="9"/>
  </w:num>
  <w:num w:numId="16">
    <w:abstractNumId w:val="22"/>
  </w:num>
  <w:num w:numId="17">
    <w:abstractNumId w:val="7"/>
  </w:num>
  <w:num w:numId="18">
    <w:abstractNumId w:val="12"/>
  </w:num>
  <w:num w:numId="19">
    <w:abstractNumId w:val="4"/>
  </w:num>
  <w:num w:numId="20">
    <w:abstractNumId w:val="10"/>
  </w:num>
  <w:num w:numId="21">
    <w:abstractNumId w:val="6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5"/>
  </w:num>
  <w:num w:numId="25">
    <w:abstractNumId w:val="14"/>
  </w:num>
  <w:num w:numId="26">
    <w:abstractNumId w:val="1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0F43A1"/>
    <w:rsid w:val="0010372A"/>
    <w:rsid w:val="001247EB"/>
    <w:rsid w:val="0016362B"/>
    <w:rsid w:val="001E426A"/>
    <w:rsid w:val="0027627B"/>
    <w:rsid w:val="002902AB"/>
    <w:rsid w:val="0031544F"/>
    <w:rsid w:val="00315734"/>
    <w:rsid w:val="00323E33"/>
    <w:rsid w:val="00353B43"/>
    <w:rsid w:val="0036473E"/>
    <w:rsid w:val="004475E5"/>
    <w:rsid w:val="00463864"/>
    <w:rsid w:val="004C6062"/>
    <w:rsid w:val="00545FAB"/>
    <w:rsid w:val="0059063E"/>
    <w:rsid w:val="006D0109"/>
    <w:rsid w:val="006F36AF"/>
    <w:rsid w:val="00751050"/>
    <w:rsid w:val="00787EA7"/>
    <w:rsid w:val="0079045C"/>
    <w:rsid w:val="007F30A1"/>
    <w:rsid w:val="0081492E"/>
    <w:rsid w:val="00854AA9"/>
    <w:rsid w:val="008A5CA7"/>
    <w:rsid w:val="008B26EC"/>
    <w:rsid w:val="009527DC"/>
    <w:rsid w:val="009C1FC5"/>
    <w:rsid w:val="00AB793E"/>
    <w:rsid w:val="00AF43EC"/>
    <w:rsid w:val="00B325CE"/>
    <w:rsid w:val="00B717F0"/>
    <w:rsid w:val="00B746F0"/>
    <w:rsid w:val="00BA785F"/>
    <w:rsid w:val="00BB2A10"/>
    <w:rsid w:val="00BE4C8E"/>
    <w:rsid w:val="00C45E32"/>
    <w:rsid w:val="00C76342"/>
    <w:rsid w:val="00D05145"/>
    <w:rsid w:val="00DF1971"/>
    <w:rsid w:val="00DF26B1"/>
    <w:rsid w:val="00E000EB"/>
    <w:rsid w:val="00E14926"/>
    <w:rsid w:val="00E272AF"/>
    <w:rsid w:val="00E44EE4"/>
    <w:rsid w:val="00E724F4"/>
    <w:rsid w:val="00ED3D0C"/>
    <w:rsid w:val="00F24599"/>
    <w:rsid w:val="00F778F9"/>
    <w:rsid w:val="00FC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1C6466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Titre2">
    <w:name w:val="heading 2"/>
    <w:basedOn w:val="Normal"/>
    <w:link w:val="Titre2Car"/>
    <w:uiPriority w:val="9"/>
    <w:qFormat/>
    <w:rsid w:val="0027627B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uiPriority w:val="34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BB2A1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BB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7627B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bibliographie">
    <w:name w:val="bibliographie"/>
    <w:basedOn w:val="Normal"/>
    <w:rsid w:val="00FC6BB0"/>
    <w:pPr>
      <w:bidi w:val="0"/>
      <w:spacing w:before="100" w:beforeAutospacing="1" w:after="100" w:afterAutospacing="1"/>
    </w:pPr>
    <w:rPr>
      <w:lang w:eastAsia="fr-FR"/>
    </w:rPr>
  </w:style>
  <w:style w:type="character" w:styleId="Lienhypertexte">
    <w:name w:val="Hyperlink"/>
    <w:semiHidden/>
    <w:unhideWhenUsed/>
    <w:rsid w:val="00FC6BB0"/>
    <w:rPr>
      <w:color w:val="0000FF"/>
      <w:u w:val="single"/>
    </w:rPr>
  </w:style>
  <w:style w:type="character" w:styleId="Accentuation">
    <w:name w:val="Emphasis"/>
    <w:uiPriority w:val="20"/>
    <w:qFormat/>
    <w:rsid w:val="00FC6B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3406/homso.1974.185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15738-FA0A-41D5-B9CA-65396A91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1135</Words>
  <Characters>6476</Characters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2021-02-10T15:39:00Z</dcterms:modified>
</cp:coreProperties>
</file>